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4CA3CC43"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Start w:id="4" w:name="Number"/>
      <w:r w:rsidR="00AA0FFD" w:rsidRPr="00784610">
        <w:rPr>
          <w:rStyle w:val="Strong"/>
          <w:b/>
          <w:bCs w:val="0"/>
          <w:sz w:val="24"/>
          <w:szCs w:val="24"/>
        </w:rPr>
        <w:t>RFQ</w:t>
      </w:r>
      <w:r w:rsidR="00A02237" w:rsidRPr="00784610">
        <w:rPr>
          <w:rStyle w:val="Strong"/>
          <w:b/>
          <w:bCs w:val="0"/>
          <w:sz w:val="24"/>
          <w:szCs w:val="24"/>
        </w:rPr>
        <w:t>-</w:t>
      </w:r>
      <w:r w:rsidR="00B00778" w:rsidRPr="00784610">
        <w:rPr>
          <w:rStyle w:val="Strong"/>
          <w:b/>
          <w:bCs w:val="0"/>
          <w:sz w:val="24"/>
          <w:szCs w:val="24"/>
        </w:rPr>
        <w:t>M</w:t>
      </w:r>
      <w:r w:rsidR="006111B4">
        <w:rPr>
          <w:rStyle w:val="Strong"/>
          <w:b/>
          <w:bCs w:val="0"/>
          <w:sz w:val="24"/>
          <w:szCs w:val="24"/>
        </w:rPr>
        <w:t>HMS-22</w:t>
      </w:r>
      <w:bookmarkEnd w:id="1"/>
      <w:bookmarkEnd w:id="2"/>
      <w:bookmarkEnd w:id="3"/>
      <w:bookmarkEnd w:id="4"/>
      <w:r w:rsidR="00741CB3">
        <w:rPr>
          <w:rStyle w:val="Strong"/>
          <w:b/>
          <w:bCs w:val="0"/>
          <w:sz w:val="24"/>
          <w:szCs w:val="24"/>
        </w:rPr>
        <w:t>-SS002-22</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5"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5"/>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784610">
        <w:rPr>
          <w:rFonts w:ascii="Calibri" w:hAnsi="Calibri" w:cs="Calibri"/>
          <w:lang w:val="en-GB"/>
        </w:rPr>
        <w:t>Evaluation</w:t>
      </w:r>
      <w:bookmarkEnd w:id="6"/>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w:t>
      </w:r>
      <w:proofErr w:type="gramStart"/>
      <w:r w:rsidRPr="00784610">
        <w:rPr>
          <w:rFonts w:ascii="Calibri" w:hAnsi="Calibri" w:cs="Calibri"/>
          <w:lang w:val="en-GB"/>
        </w:rPr>
        <w:t>Technical</w:t>
      </w:r>
      <w:proofErr w:type="gramEnd"/>
      <w:r w:rsidRPr="00784610">
        <w:rPr>
          <w:rFonts w:ascii="Calibri" w:hAnsi="Calibri" w:cs="Calibri"/>
          <w:lang w:val="en-GB"/>
        </w:rPr>
        <w:t xml:space="preserve"> component is maximum 100 points. </w:t>
      </w:r>
      <w:bookmarkStart w:id="7"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7"/>
      <w:r w:rsidRPr="00784610">
        <w:rPr>
          <w:rFonts w:ascii="Calibri" w:hAnsi="Calibri" w:cs="Calibri"/>
          <w:lang w:val="en-GB"/>
        </w:rPr>
        <w:t xml:space="preserve"> of the score received in the technical evaluation will be added to the obtained financial score, which is maximum </w:t>
      </w:r>
      <w:bookmarkStart w:id="8"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8"/>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&lt;It should be decided in advance whether or not the budget should be disclosed&gt;</w:t>
      </w:r>
    </w:p>
    <w:p w14:paraId="0A2DFB22"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is </w:t>
      </w:r>
      <w:r w:rsidRPr="00784610">
        <w:rPr>
          <w:rFonts w:ascii="Calibri" w:hAnsi="Calibri" w:cs="Calibri"/>
          <w:highlight w:val="yellow"/>
          <w:lang w:val="en-GB"/>
        </w:rPr>
        <w:t>AU$00,000</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 xml:space="preserve">s, </w:t>
      </w:r>
      <w:proofErr w:type="gramStart"/>
      <w:r w:rsidRPr="00784610">
        <w:rPr>
          <w:b/>
          <w:i/>
          <w:color w:val="FF0000"/>
          <w:lang w:val="en-GB"/>
        </w:rPr>
        <w:t>i.e.</w:t>
      </w:r>
      <w:proofErr w:type="gramEnd"/>
      <w:r w:rsidRPr="00784610">
        <w:rPr>
          <w:b/>
          <w:i/>
          <w:color w:val="FF0000"/>
          <w:lang w:val="en-GB"/>
        </w:rPr>
        <w:t xml:space="preserv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9"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9"/>
    </w:p>
    <w:p w14:paraId="1386D867" w14:textId="77E3B484" w:rsidR="006E17EC" w:rsidRDefault="00E15F4B" w:rsidP="00ED3FDE">
      <w:pPr>
        <w:spacing w:after="240"/>
        <w:jc w:val="both"/>
        <w:rPr>
          <w:rFonts w:ascii="Calibri" w:hAnsi="Calibri" w:cs="Calibri"/>
          <w:lang w:val="en-GB" w:eastAsia="ko-KR"/>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464"/>
      </w:tblGrid>
      <w:tr w:rsidR="00104B2C" w14:paraId="22B59792" w14:textId="77777777" w:rsidTr="00396DC9">
        <w:trPr>
          <w:cantSplit/>
          <w:tblHeader/>
        </w:trPr>
        <w:tc>
          <w:tcPr>
            <w:tcW w:w="2430" w:type="dxa"/>
            <w:shd w:val="clear" w:color="auto" w:fill="auto"/>
            <w:vAlign w:val="center"/>
          </w:tcPr>
          <w:p w14:paraId="2B37B370" w14:textId="77777777" w:rsidR="00104B2C" w:rsidRDefault="00104B2C" w:rsidP="00396DC9">
            <w:pPr>
              <w:pStyle w:val="TableContents"/>
              <w:jc w:val="center"/>
              <w:rPr>
                <w:rFonts w:cs="Calibri"/>
                <w:b/>
              </w:rPr>
            </w:pPr>
            <w:r>
              <w:rPr>
                <w:rFonts w:cs="Calibri"/>
                <w:b/>
              </w:rPr>
              <w:t>Major Criteria</w:t>
            </w:r>
          </w:p>
        </w:tc>
        <w:tc>
          <w:tcPr>
            <w:tcW w:w="5367" w:type="dxa"/>
            <w:shd w:val="clear" w:color="auto" w:fill="auto"/>
            <w:vAlign w:val="center"/>
          </w:tcPr>
          <w:p w14:paraId="12EB9CB8" w14:textId="77777777" w:rsidR="00104B2C" w:rsidRDefault="00104B2C" w:rsidP="00396DC9">
            <w:pPr>
              <w:pStyle w:val="TableContents"/>
              <w:jc w:val="center"/>
              <w:rPr>
                <w:rFonts w:cs="Calibri"/>
                <w:b/>
              </w:rPr>
            </w:pPr>
            <w:r>
              <w:rPr>
                <w:rFonts w:cs="Calibri"/>
                <w:b/>
              </w:rPr>
              <w:t>Details &amp; Sub-Criteria</w:t>
            </w:r>
          </w:p>
        </w:tc>
        <w:tc>
          <w:tcPr>
            <w:tcW w:w="1464" w:type="dxa"/>
            <w:shd w:val="clear" w:color="auto" w:fill="auto"/>
            <w:vAlign w:val="center"/>
          </w:tcPr>
          <w:p w14:paraId="73E7E7D4" w14:textId="77777777" w:rsidR="00104B2C" w:rsidRDefault="00104B2C" w:rsidP="00396DC9">
            <w:pPr>
              <w:pStyle w:val="TableContents"/>
              <w:jc w:val="center"/>
              <w:rPr>
                <w:rFonts w:cs="Calibri"/>
                <w:b/>
              </w:rPr>
            </w:pPr>
            <w:r>
              <w:rPr>
                <w:rFonts w:cs="Calibri"/>
                <w:b/>
              </w:rPr>
              <w:t>Possible Score</w:t>
            </w:r>
          </w:p>
        </w:tc>
      </w:tr>
      <w:tr w:rsidR="00104B2C" w14:paraId="6CDEEB5D" w14:textId="77777777" w:rsidTr="00396DC9">
        <w:trPr>
          <w:cantSplit/>
          <w:tblHeader/>
        </w:trPr>
        <w:tc>
          <w:tcPr>
            <w:tcW w:w="2430" w:type="dxa"/>
            <w:shd w:val="clear" w:color="auto" w:fill="auto"/>
            <w:vAlign w:val="center"/>
          </w:tcPr>
          <w:p w14:paraId="2B8470B7" w14:textId="60025111" w:rsidR="00104B2C" w:rsidRDefault="00104B2C" w:rsidP="00F845CA">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w:t>
            </w:r>
            <w:r w:rsidR="00F845CA">
              <w:rPr>
                <w:rFonts w:asciiTheme="minorHAnsi" w:hAnsiTheme="minorHAnsi"/>
                <w:sz w:val="22"/>
                <w:szCs w:val="22"/>
                <w:lang w:eastAsia="en-US"/>
              </w:rPr>
              <w:t xml:space="preserve">tion with similar supply of </w:t>
            </w:r>
            <w:r w:rsidR="007B7C1B">
              <w:rPr>
                <w:rFonts w:asciiTheme="minorHAnsi" w:hAnsiTheme="minorHAnsi"/>
                <w:sz w:val="22"/>
                <w:szCs w:val="22"/>
                <w:lang w:eastAsia="en-US"/>
              </w:rPr>
              <w:t>s</w:t>
            </w:r>
            <w:r w:rsidR="00F845CA">
              <w:rPr>
                <w:rFonts w:asciiTheme="minorHAnsi" w:hAnsiTheme="minorHAnsi"/>
                <w:sz w:val="22"/>
                <w:szCs w:val="22"/>
                <w:lang w:eastAsia="en-US"/>
              </w:rPr>
              <w:t>ervices</w:t>
            </w:r>
          </w:p>
        </w:tc>
        <w:tc>
          <w:tcPr>
            <w:tcW w:w="5367" w:type="dxa"/>
            <w:shd w:val="clear" w:color="auto" w:fill="auto"/>
          </w:tcPr>
          <w:p w14:paraId="12E4EA8F" w14:textId="2FDE5AE4" w:rsidR="00104B2C" w:rsidRPr="00F3499A" w:rsidRDefault="00104B2C" w:rsidP="00396DC9">
            <w:pPr>
              <w:pStyle w:val="TableContents"/>
              <w:numPr>
                <w:ilvl w:val="0"/>
                <w:numId w:val="3"/>
              </w:numPr>
              <w:rPr>
                <w:rFonts w:asciiTheme="minorHAnsi" w:hAnsiTheme="minorHAnsi"/>
                <w:sz w:val="22"/>
                <w:szCs w:val="22"/>
              </w:rPr>
            </w:pPr>
            <w:r>
              <w:rPr>
                <w:rFonts w:asciiTheme="minorHAnsi" w:hAnsiTheme="minorHAnsi"/>
                <w:sz w:val="22"/>
                <w:szCs w:val="22"/>
                <w:lang w:val="en-US"/>
              </w:rPr>
              <w:t>At least 2 references showing reputat</w:t>
            </w:r>
            <w:r w:rsidR="00F845CA">
              <w:rPr>
                <w:rFonts w:asciiTheme="minorHAnsi" w:hAnsiTheme="minorHAnsi"/>
                <w:sz w:val="22"/>
                <w:szCs w:val="22"/>
                <w:lang w:val="en-US"/>
              </w:rPr>
              <w:t>ion with similar supply of services</w:t>
            </w:r>
          </w:p>
          <w:p w14:paraId="33BD4774" w14:textId="48ACB4B5" w:rsidR="00F3499A" w:rsidRPr="001C5303" w:rsidRDefault="00F3499A" w:rsidP="00396DC9">
            <w:pPr>
              <w:pStyle w:val="TableContents"/>
              <w:numPr>
                <w:ilvl w:val="0"/>
                <w:numId w:val="3"/>
              </w:numPr>
              <w:rPr>
                <w:rFonts w:asciiTheme="minorHAnsi" w:hAnsiTheme="minorHAnsi"/>
                <w:sz w:val="22"/>
                <w:szCs w:val="22"/>
              </w:rPr>
            </w:pPr>
            <w:r>
              <w:rPr>
                <w:rFonts w:asciiTheme="minorHAnsi" w:hAnsiTheme="minorHAnsi"/>
                <w:sz w:val="22"/>
                <w:szCs w:val="22"/>
                <w:lang w:val="en-US"/>
              </w:rPr>
              <w:t>No. of years in the transportation sector/business</w:t>
            </w:r>
          </w:p>
          <w:p w14:paraId="73072DC3" w14:textId="77777777" w:rsidR="00104B2C" w:rsidRDefault="00104B2C" w:rsidP="00396DC9">
            <w:pPr>
              <w:pStyle w:val="TableContents"/>
              <w:rPr>
                <w:rFonts w:asciiTheme="minorHAnsi" w:hAnsiTheme="minorHAnsi"/>
                <w:sz w:val="22"/>
                <w:szCs w:val="22"/>
              </w:rPr>
            </w:pPr>
          </w:p>
        </w:tc>
        <w:tc>
          <w:tcPr>
            <w:tcW w:w="1464" w:type="dxa"/>
            <w:shd w:val="clear" w:color="auto" w:fill="auto"/>
            <w:vAlign w:val="center"/>
          </w:tcPr>
          <w:p w14:paraId="75738C6B" w14:textId="77777777" w:rsidR="00104B2C" w:rsidRDefault="00104B2C" w:rsidP="00396DC9">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104B2C" w14:paraId="42B15D4C" w14:textId="77777777" w:rsidTr="00396DC9">
        <w:trPr>
          <w:cantSplit/>
          <w:tblHeader/>
        </w:trPr>
        <w:tc>
          <w:tcPr>
            <w:tcW w:w="2430" w:type="dxa"/>
            <w:shd w:val="clear" w:color="auto" w:fill="auto"/>
            <w:vAlign w:val="center"/>
          </w:tcPr>
          <w:p w14:paraId="3EF850C9" w14:textId="7EF98966" w:rsidR="00104B2C" w:rsidRDefault="00F845CA" w:rsidP="00F845CA">
            <w:pPr>
              <w:pStyle w:val="TableContents"/>
              <w:rPr>
                <w:rFonts w:asciiTheme="minorHAnsi" w:hAnsiTheme="minorHAnsi"/>
                <w:sz w:val="22"/>
                <w:szCs w:val="22"/>
                <w:lang w:eastAsia="en-US"/>
              </w:rPr>
            </w:pPr>
            <w:r>
              <w:rPr>
                <w:rFonts w:asciiTheme="minorHAnsi" w:hAnsiTheme="minorHAnsi"/>
                <w:sz w:val="22"/>
                <w:szCs w:val="22"/>
                <w:lang w:eastAsia="en-US"/>
              </w:rPr>
              <w:t xml:space="preserve">Service </w:t>
            </w:r>
            <w:r w:rsidR="00104B2C">
              <w:rPr>
                <w:rFonts w:asciiTheme="minorHAnsi" w:hAnsiTheme="minorHAnsi"/>
                <w:sz w:val="22"/>
                <w:szCs w:val="22"/>
                <w:lang w:eastAsia="en-US"/>
              </w:rPr>
              <w:t>Delivery</w:t>
            </w:r>
          </w:p>
        </w:tc>
        <w:tc>
          <w:tcPr>
            <w:tcW w:w="5367" w:type="dxa"/>
            <w:shd w:val="clear" w:color="auto" w:fill="auto"/>
          </w:tcPr>
          <w:p w14:paraId="280D8DF1" w14:textId="59D08654" w:rsidR="00F845CA" w:rsidRPr="00F845CA" w:rsidRDefault="00F845CA" w:rsidP="00F845CA">
            <w:pPr>
              <w:pStyle w:val="TableContents"/>
              <w:numPr>
                <w:ilvl w:val="0"/>
                <w:numId w:val="4"/>
              </w:numPr>
              <w:rPr>
                <w:rFonts w:asciiTheme="minorHAnsi" w:hAnsiTheme="minorHAnsi"/>
                <w:sz w:val="22"/>
                <w:szCs w:val="22"/>
              </w:rPr>
            </w:pPr>
            <w:r>
              <w:rPr>
                <w:rFonts w:asciiTheme="minorHAnsi" w:hAnsiTheme="minorHAnsi"/>
                <w:sz w:val="22"/>
                <w:szCs w:val="22"/>
                <w:lang w:val="en-US"/>
              </w:rPr>
              <w:t>Providing a very clear time s</w:t>
            </w:r>
            <w:r w:rsidR="007B7C1B">
              <w:rPr>
                <w:rFonts w:asciiTheme="minorHAnsi" w:hAnsiTheme="minorHAnsi"/>
                <w:sz w:val="22"/>
                <w:szCs w:val="22"/>
                <w:lang w:val="en-US"/>
              </w:rPr>
              <w:t>chedule on pick-</w:t>
            </w:r>
            <w:r>
              <w:rPr>
                <w:rFonts w:asciiTheme="minorHAnsi" w:hAnsiTheme="minorHAnsi"/>
                <w:sz w:val="22"/>
                <w:szCs w:val="22"/>
                <w:lang w:val="en-US"/>
              </w:rPr>
              <w:t>up</w:t>
            </w:r>
            <w:r w:rsidR="007B7C1B">
              <w:rPr>
                <w:rFonts w:asciiTheme="minorHAnsi" w:hAnsiTheme="minorHAnsi"/>
                <w:sz w:val="22"/>
                <w:szCs w:val="22"/>
                <w:lang w:val="en-US"/>
              </w:rPr>
              <w:t>s and drop-</w:t>
            </w:r>
            <w:r>
              <w:rPr>
                <w:rFonts w:asciiTheme="minorHAnsi" w:hAnsiTheme="minorHAnsi"/>
                <w:sz w:val="22"/>
                <w:szCs w:val="22"/>
                <w:lang w:val="en-US"/>
              </w:rPr>
              <w:t>off</w:t>
            </w:r>
            <w:r w:rsidR="00F3499A">
              <w:rPr>
                <w:rFonts w:asciiTheme="minorHAnsi" w:hAnsiTheme="minorHAnsi"/>
                <w:sz w:val="22"/>
                <w:szCs w:val="22"/>
                <w:lang w:val="en-US"/>
              </w:rPr>
              <w:t xml:space="preserve"> for each route</w:t>
            </w:r>
            <w:r>
              <w:rPr>
                <w:rFonts w:asciiTheme="minorHAnsi" w:hAnsiTheme="minorHAnsi"/>
                <w:sz w:val="22"/>
                <w:szCs w:val="22"/>
                <w:lang w:val="en-US"/>
              </w:rPr>
              <w:t xml:space="preserve"> </w:t>
            </w:r>
          </w:p>
          <w:p w14:paraId="328F8976" w14:textId="77777777" w:rsidR="00F845CA" w:rsidRPr="00444C1C" w:rsidRDefault="00F845CA" w:rsidP="00F845CA">
            <w:pPr>
              <w:pStyle w:val="TableContents"/>
              <w:numPr>
                <w:ilvl w:val="0"/>
                <w:numId w:val="4"/>
              </w:numPr>
              <w:rPr>
                <w:rFonts w:asciiTheme="minorHAnsi" w:hAnsiTheme="minorHAnsi"/>
                <w:sz w:val="22"/>
                <w:szCs w:val="22"/>
              </w:rPr>
            </w:pPr>
            <w:r>
              <w:rPr>
                <w:rFonts w:asciiTheme="minorHAnsi" w:hAnsiTheme="minorHAnsi"/>
                <w:sz w:val="22"/>
                <w:szCs w:val="22"/>
                <w:lang w:val="en-US"/>
              </w:rPr>
              <w:t>Indication of adequate number of vehicles for standby to meet unexpected breakdown of current transport</w:t>
            </w:r>
          </w:p>
          <w:p w14:paraId="0DC0618D" w14:textId="4DA450D1" w:rsidR="00444C1C" w:rsidRPr="00F845CA" w:rsidRDefault="00444C1C" w:rsidP="00F845CA">
            <w:pPr>
              <w:pStyle w:val="TableContents"/>
              <w:numPr>
                <w:ilvl w:val="0"/>
                <w:numId w:val="4"/>
              </w:numPr>
              <w:rPr>
                <w:rFonts w:asciiTheme="minorHAnsi" w:hAnsiTheme="minorHAnsi"/>
                <w:sz w:val="22"/>
                <w:szCs w:val="22"/>
              </w:rPr>
            </w:pPr>
            <w:r>
              <w:rPr>
                <w:rFonts w:asciiTheme="minorHAnsi" w:hAnsiTheme="minorHAnsi"/>
                <w:sz w:val="22"/>
                <w:szCs w:val="22"/>
                <w:lang w:val="en-US"/>
              </w:rPr>
              <w:t>Conditions of buses to be used for t</w:t>
            </w:r>
            <w:r w:rsidR="00F3499A">
              <w:rPr>
                <w:rFonts w:asciiTheme="minorHAnsi" w:hAnsiTheme="minorHAnsi"/>
                <w:sz w:val="22"/>
                <w:szCs w:val="22"/>
                <w:lang w:val="en-US"/>
              </w:rPr>
              <w:t>his tender</w:t>
            </w:r>
          </w:p>
          <w:p w14:paraId="57400E8D" w14:textId="54632686" w:rsidR="00104B2C" w:rsidRDefault="00104B2C" w:rsidP="00F845CA">
            <w:pPr>
              <w:pStyle w:val="TableContents"/>
              <w:ind w:left="720"/>
              <w:rPr>
                <w:rFonts w:asciiTheme="minorHAnsi" w:hAnsiTheme="minorHAnsi"/>
                <w:sz w:val="22"/>
                <w:szCs w:val="22"/>
              </w:rPr>
            </w:pPr>
          </w:p>
        </w:tc>
        <w:tc>
          <w:tcPr>
            <w:tcW w:w="1464" w:type="dxa"/>
            <w:shd w:val="clear" w:color="auto" w:fill="auto"/>
            <w:vAlign w:val="center"/>
          </w:tcPr>
          <w:p w14:paraId="4F7B27C4" w14:textId="77777777" w:rsidR="00104B2C" w:rsidRDefault="00104B2C" w:rsidP="00396DC9">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104B2C" w14:paraId="2CBBB178" w14:textId="77777777" w:rsidTr="00396DC9">
        <w:trPr>
          <w:cantSplit/>
          <w:tblHeader/>
        </w:trPr>
        <w:tc>
          <w:tcPr>
            <w:tcW w:w="2430" w:type="dxa"/>
            <w:shd w:val="clear" w:color="auto" w:fill="auto"/>
            <w:vAlign w:val="center"/>
          </w:tcPr>
          <w:p w14:paraId="2955174F" w14:textId="47994CA8" w:rsidR="00104B2C" w:rsidRDefault="00104B2C" w:rsidP="00396DC9">
            <w:pPr>
              <w:pStyle w:val="TableContents"/>
              <w:rPr>
                <w:rFonts w:asciiTheme="minorHAnsi" w:hAnsiTheme="minorHAnsi"/>
                <w:sz w:val="22"/>
                <w:szCs w:val="22"/>
                <w:lang w:val="en-US" w:eastAsia="en-US"/>
              </w:rPr>
            </w:pPr>
            <w:r>
              <w:rPr>
                <w:rFonts w:asciiTheme="minorHAnsi" w:hAnsiTheme="minorHAnsi"/>
                <w:sz w:val="22"/>
                <w:szCs w:val="22"/>
                <w:lang w:val="en-US" w:eastAsia="en-US"/>
              </w:rPr>
              <w:t>Specification</w:t>
            </w:r>
          </w:p>
        </w:tc>
        <w:tc>
          <w:tcPr>
            <w:tcW w:w="5367" w:type="dxa"/>
            <w:shd w:val="clear" w:color="auto" w:fill="auto"/>
          </w:tcPr>
          <w:p w14:paraId="406BFE5A" w14:textId="171D6678" w:rsidR="00104B2C" w:rsidRDefault="00104B2C" w:rsidP="006A3F6E">
            <w:pPr>
              <w:pStyle w:val="TableContents"/>
              <w:numPr>
                <w:ilvl w:val="0"/>
                <w:numId w:val="5"/>
              </w:numPr>
              <w:rPr>
                <w:rFonts w:asciiTheme="minorHAnsi" w:hAnsiTheme="minorHAnsi"/>
                <w:sz w:val="22"/>
                <w:szCs w:val="22"/>
              </w:rPr>
            </w:pPr>
            <w:r>
              <w:rPr>
                <w:rFonts w:asciiTheme="minorHAnsi" w:hAnsiTheme="minorHAnsi"/>
                <w:sz w:val="22"/>
                <w:szCs w:val="22"/>
                <w:lang w:val="en-US"/>
              </w:rPr>
              <w:t xml:space="preserve">Must comply with the </w:t>
            </w:r>
            <w:r w:rsidR="00F845CA">
              <w:rPr>
                <w:rFonts w:asciiTheme="minorHAnsi" w:hAnsiTheme="minorHAnsi"/>
                <w:sz w:val="22"/>
                <w:szCs w:val="22"/>
                <w:lang w:val="en-US"/>
              </w:rPr>
              <w:t>scope of service as</w:t>
            </w:r>
            <w:r w:rsidR="006A3F6E">
              <w:rPr>
                <w:rFonts w:asciiTheme="minorHAnsi" w:hAnsiTheme="minorHAnsi"/>
                <w:sz w:val="22"/>
                <w:szCs w:val="22"/>
                <w:lang w:val="en-US"/>
              </w:rPr>
              <w:t xml:space="preserve"> listed</w:t>
            </w:r>
            <w:r w:rsidR="00F845CA">
              <w:rPr>
                <w:rFonts w:asciiTheme="minorHAnsi" w:hAnsiTheme="minorHAnsi"/>
                <w:sz w:val="22"/>
                <w:szCs w:val="22"/>
                <w:lang w:val="en-US"/>
              </w:rPr>
              <w:t xml:space="preserve"> in document no.4.</w:t>
            </w:r>
            <w:r>
              <w:rPr>
                <w:rFonts w:asciiTheme="minorHAnsi" w:hAnsiTheme="minorHAnsi"/>
                <w:sz w:val="22"/>
                <w:szCs w:val="22"/>
                <w:lang w:val="en-US"/>
              </w:rPr>
              <w:t xml:space="preserve"> </w:t>
            </w:r>
          </w:p>
        </w:tc>
        <w:tc>
          <w:tcPr>
            <w:tcW w:w="1464" w:type="dxa"/>
            <w:shd w:val="clear" w:color="auto" w:fill="auto"/>
            <w:vAlign w:val="center"/>
          </w:tcPr>
          <w:p w14:paraId="0A099592" w14:textId="77777777" w:rsidR="00104B2C" w:rsidRDefault="00104B2C" w:rsidP="00396DC9">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104B2C" w14:paraId="7559FC3A" w14:textId="77777777" w:rsidTr="00396DC9">
        <w:trPr>
          <w:cantSplit/>
          <w:trHeight w:val="650"/>
          <w:tblHeader/>
        </w:trPr>
        <w:tc>
          <w:tcPr>
            <w:tcW w:w="7797" w:type="dxa"/>
            <w:gridSpan w:val="2"/>
            <w:shd w:val="clear" w:color="auto" w:fill="auto"/>
            <w:vAlign w:val="center"/>
          </w:tcPr>
          <w:p w14:paraId="3794219C" w14:textId="77777777" w:rsidR="00104B2C" w:rsidRDefault="00104B2C" w:rsidP="00396DC9">
            <w:pPr>
              <w:pStyle w:val="TableContents"/>
              <w:jc w:val="both"/>
              <w:rPr>
                <w:rFonts w:cs="Calibri"/>
              </w:rPr>
            </w:pPr>
            <w:r>
              <w:rPr>
                <w:rFonts w:cs="Calibri"/>
                <w:b/>
              </w:rPr>
              <w:t>Total Possible Technical Score</w:t>
            </w:r>
          </w:p>
        </w:tc>
        <w:tc>
          <w:tcPr>
            <w:tcW w:w="1464" w:type="dxa"/>
            <w:shd w:val="clear" w:color="auto" w:fill="auto"/>
            <w:vAlign w:val="center"/>
          </w:tcPr>
          <w:p w14:paraId="48DA2F6B" w14:textId="77777777" w:rsidR="00104B2C" w:rsidRDefault="00104B2C" w:rsidP="00396DC9">
            <w:pPr>
              <w:pStyle w:val="TableContents"/>
              <w:jc w:val="center"/>
              <w:rPr>
                <w:rFonts w:cs="Calibri"/>
                <w:b/>
              </w:rPr>
            </w:pPr>
            <w:r>
              <w:rPr>
                <w:rFonts w:cs="Calibri"/>
                <w:b/>
              </w:rPr>
              <w:t>100</w:t>
            </w:r>
          </w:p>
        </w:tc>
      </w:tr>
    </w:tbl>
    <w:p w14:paraId="3BB01C6F" w14:textId="77777777" w:rsidR="00BD4472" w:rsidRDefault="00BD4472" w:rsidP="00ED3FDE">
      <w:pPr>
        <w:spacing w:after="240"/>
        <w:jc w:val="both"/>
        <w:rPr>
          <w:rFonts w:ascii="Calibri" w:hAnsi="Calibri" w:cs="Calibri"/>
          <w:lang w:val="en-GB" w:eastAsia="ko-KR"/>
        </w:rPr>
      </w:pPr>
    </w:p>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0" w:name="_Hlk26878408"/>
      <w:r w:rsidRPr="00784610">
        <w:rPr>
          <w:rFonts w:ascii="Calibri" w:hAnsi="Calibri" w:cs="Calibri"/>
          <w:i/>
          <w:iCs/>
          <w:lang w:val="en-GB" w:eastAsia="ko-KR"/>
        </w:rPr>
        <w:t xml:space="preserve">tv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proofErr w:type="spellStart"/>
      <w:r w:rsidRPr="00784610">
        <w:rPr>
          <w:lang w:val="en-GB"/>
        </w:rPr>
        <w:t>ts</w:t>
      </w:r>
      <w:proofErr w:type="spell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r w:rsidRPr="00784610">
        <w:rPr>
          <w:lang w:val="en-GB"/>
        </w:rPr>
        <w:t>tw</w:t>
      </w:r>
      <w:proofErr w:type="spellEnd"/>
      <w:r w:rsidRPr="00784610">
        <w:rPr>
          <w:lang w:val="en-GB"/>
        </w:rPr>
        <w:t xml:space="preserve"> = technical weight in % (technical weight)</w:t>
      </w:r>
    </w:p>
    <w:bookmarkEnd w:id="10"/>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1" w:name="_Toc374271007"/>
      <w:r w:rsidRPr="00784610">
        <w:rPr>
          <w:lang w:val="en-GB"/>
        </w:rPr>
        <w:t>Evaluation of financial components</w:t>
      </w:r>
      <w:bookmarkEnd w:id="11"/>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2" w:name="_Toc374271008"/>
      <w:r w:rsidRPr="00784610">
        <w:rPr>
          <w:lang w:val="en-GB"/>
        </w:rPr>
        <w:lastRenderedPageBreak/>
        <w:t>Evaluation of technical and financial components for total scoring</w:t>
      </w:r>
      <w:bookmarkEnd w:id="12"/>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3" w:name="_Hlk26878494"/>
      <w:r w:rsidRPr="00784610">
        <w:rPr>
          <w:rFonts w:ascii="Calibri" w:hAnsi="Calibri"/>
          <w:b/>
          <w:lang w:val="en-GB"/>
        </w:rPr>
        <w:t>E = (</w:t>
      </w:r>
      <w:proofErr w:type="spellStart"/>
      <w:r w:rsidRPr="00784610">
        <w:rPr>
          <w:rFonts w:ascii="Calibri" w:hAnsi="Calibri"/>
          <w:b/>
          <w:lang w:val="en-GB"/>
        </w:rPr>
        <w:t>ts</w:t>
      </w:r>
      <w:proofErr w:type="spellEnd"/>
      <w:r w:rsidRPr="00784610">
        <w:rPr>
          <w:rFonts w:ascii="Calibri" w:hAnsi="Calibri"/>
          <w:b/>
          <w:lang w:val="en-GB"/>
        </w:rPr>
        <w:t xml:space="preserve"> * </w:t>
      </w:r>
      <w:proofErr w:type="spellStart"/>
      <w:r w:rsidRPr="00784610">
        <w:rPr>
          <w:rFonts w:ascii="Calibri" w:hAnsi="Calibri"/>
          <w:b/>
          <w:lang w:val="en-GB"/>
        </w:rPr>
        <w:t>tw</w:t>
      </w:r>
      <w:proofErr w:type="spellEnd"/>
      <w:r w:rsidRPr="00784610">
        <w:rPr>
          <w:rFonts w:ascii="Calibri" w:hAnsi="Calibri"/>
          <w:b/>
          <w:lang w:val="en-GB"/>
        </w:rPr>
        <w:t>) + (</w:t>
      </w:r>
      <w:r w:rsidR="00D87E1D">
        <w:rPr>
          <w:rFonts w:ascii="Calibri" w:hAnsi="Calibri"/>
          <w:b/>
          <w:lang w:val="en-GB"/>
        </w:rPr>
        <w:t>(</w:t>
      </w:r>
      <w:proofErr w:type="spellStart"/>
      <w:r w:rsidRPr="00784610">
        <w:rPr>
          <w:rFonts w:ascii="Calibri" w:hAnsi="Calibri"/>
          <w:b/>
          <w:lang w:val="en-GB"/>
        </w:rPr>
        <w:t>tc</w:t>
      </w:r>
      <w:proofErr w:type="spellEnd"/>
      <w:r w:rsidRPr="00784610">
        <w:rPr>
          <w:rFonts w:ascii="Calibri" w:hAnsi="Calibri"/>
          <w:b/>
          <w:lang w:val="en-GB"/>
        </w:rPr>
        <w:t xml:space="preserve"> / lc</w:t>
      </w:r>
      <w:r w:rsidR="00D87E1D">
        <w:rPr>
          <w:rFonts w:ascii="Calibri" w:hAnsi="Calibri"/>
          <w:b/>
          <w:lang w:val="en-GB"/>
        </w:rPr>
        <w:t xml:space="preserve">) * </w:t>
      </w:r>
      <w:proofErr w:type="spellStart"/>
      <w:r w:rsidR="00D87E1D">
        <w:rPr>
          <w:rFonts w:ascii="Calibri" w:hAnsi="Calibri"/>
          <w:b/>
          <w:lang w:val="en-GB"/>
        </w:rPr>
        <w:t>fw</w:t>
      </w:r>
      <w:proofErr w:type="spellEnd"/>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4" w:name="_Hlk26877853"/>
      <w:proofErr w:type="spellStart"/>
      <w:r w:rsidRPr="00784610">
        <w:rPr>
          <w:rFonts w:ascii="Calibri" w:hAnsi="Calibri"/>
          <w:sz w:val="20"/>
          <w:szCs w:val="20"/>
          <w:lang w:val="en-GB"/>
        </w:rPr>
        <w:t>ts</w:t>
      </w:r>
      <w:proofErr w:type="spellEnd"/>
      <w:r w:rsidRPr="00784610">
        <w:rPr>
          <w:rFonts w:ascii="Calibri" w:hAnsi="Calibri"/>
          <w:sz w:val="20"/>
          <w:szCs w:val="20"/>
          <w:lang w:val="en-GB"/>
        </w:rPr>
        <w:t xml:space="preserve"> = technical result (technical score)</w:t>
      </w:r>
    </w:p>
    <w:p w14:paraId="48DD32DD" w14:textId="77777777" w:rsidR="008E3CC3" w:rsidRPr="00784610"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tw</w:t>
      </w:r>
      <w:proofErr w:type="spellEnd"/>
      <w:r w:rsidRPr="00784610">
        <w:rPr>
          <w:rFonts w:ascii="Calibri" w:hAnsi="Calibri"/>
          <w:sz w:val="20"/>
          <w:szCs w:val="20"/>
          <w:lang w:val="en-GB"/>
        </w:rPr>
        <w:t xml:space="preserve"> = technical weight in % (technical weight)</w:t>
      </w:r>
    </w:p>
    <w:bookmarkEnd w:id="14"/>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tc</w:t>
      </w:r>
      <w:proofErr w:type="spellEnd"/>
      <w:r w:rsidRPr="00784610">
        <w:rPr>
          <w:rFonts w:ascii="Calibri" w:hAnsi="Calibri"/>
          <w:sz w:val="20"/>
          <w:szCs w:val="20"/>
          <w:lang w:val="en-GB"/>
        </w:rPr>
        <w:t xml:space="preserve"> = cost of the Tender being evaluated (tender cost)</w:t>
      </w:r>
      <w:bookmarkEnd w:id="13"/>
    </w:p>
    <w:p w14:paraId="21407163" w14:textId="430B1926" w:rsidR="00D87E1D" w:rsidRPr="00784610" w:rsidRDefault="00D87E1D" w:rsidP="008E3CC3">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BF152" w14:textId="77777777" w:rsidR="00034D60" w:rsidRDefault="00034D60">
      <w:r>
        <w:separator/>
      </w:r>
    </w:p>
  </w:endnote>
  <w:endnote w:type="continuationSeparator" w:id="0">
    <w:p w14:paraId="6F632365" w14:textId="77777777" w:rsidR="00034D60" w:rsidRDefault="0003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23B4C" w:rsidRPr="00D23B4C">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23B4C" w:rsidRPr="00D23B4C">
      <w:rPr>
        <w:noProof/>
        <w:color w:val="17365D" w:themeColor="text2" w:themeShade="BF"/>
        <w:lang w:val="sv-SE"/>
      </w:rPr>
      <w:t>4</w:t>
    </w:r>
    <w:r>
      <w:rPr>
        <w:color w:val="17365D" w:themeColor="text2" w:themeShade="BF"/>
      </w:rPr>
      <w:fldChar w:fldCharType="end"/>
    </w:r>
  </w:p>
  <w:p w14:paraId="213B5D63" w14:textId="41258666" w:rsidR="00D15CF2" w:rsidRDefault="004878F3" w:rsidP="004878F3">
    <w:pPr>
      <w:pStyle w:val="Footer"/>
    </w:pPr>
    <w:r>
      <w:fldChar w:fldCharType="begin"/>
    </w:r>
    <w:r>
      <w:instrText xml:space="preserve"> DATE \@ "yyyy-MM-dd" </w:instrText>
    </w:r>
    <w:r>
      <w:fldChar w:fldCharType="separate"/>
    </w:r>
    <w:r w:rsidR="00741CB3">
      <w:rPr>
        <w:noProof/>
      </w:rPr>
      <w:t>2022-01-21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F804" w14:textId="77777777" w:rsidR="00034D60" w:rsidRDefault="00034D60">
      <w:r>
        <w:separator/>
      </w:r>
    </w:p>
  </w:footnote>
  <w:footnote w:type="continuationSeparator" w:id="0">
    <w:p w14:paraId="313134C6" w14:textId="77777777" w:rsidR="00034D60" w:rsidRDefault="0003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5CA396E0"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1F1E3B">
      <w:rPr>
        <w:rFonts w:asciiTheme="minorHAnsi" w:hAnsiTheme="minorHAnsi" w:cstheme="minorHAnsi"/>
        <w:szCs w:val="24"/>
      </w:rPr>
      <w:fldChar w:fldCharType="begin"/>
    </w:r>
    <w:r w:rsidRPr="001F1E3B">
      <w:rPr>
        <w:rFonts w:asciiTheme="minorHAnsi" w:hAnsiTheme="minorHAnsi" w:cstheme="minorHAnsi"/>
        <w:szCs w:val="24"/>
      </w:rPr>
      <w:instrText xml:space="preserve"> REF Number \h  \* MERGEFORMAT </w:instrText>
    </w:r>
    <w:r w:rsidRPr="001F1E3B">
      <w:rPr>
        <w:rFonts w:asciiTheme="minorHAnsi" w:hAnsiTheme="minorHAnsi" w:cstheme="minorHAnsi"/>
        <w:szCs w:val="24"/>
      </w:rPr>
    </w:r>
    <w:r w:rsidRPr="001F1E3B">
      <w:rPr>
        <w:rFonts w:asciiTheme="minorHAnsi" w:hAnsiTheme="minorHAnsi" w:cstheme="minorHAnsi"/>
        <w:szCs w:val="24"/>
      </w:rPr>
      <w:fldChar w:fldCharType="separate"/>
    </w:r>
    <w:r w:rsidRPr="001F1E3B">
      <w:rPr>
        <w:rStyle w:val="Strong"/>
        <w:rFonts w:asciiTheme="minorHAnsi" w:hAnsiTheme="minorHAnsi" w:cstheme="minorHAnsi"/>
        <w:szCs w:val="24"/>
      </w:rPr>
      <w:t>RFQ-M</w:t>
    </w:r>
    <w:r w:rsidR="006111B4">
      <w:rPr>
        <w:rStyle w:val="Strong"/>
        <w:rFonts w:asciiTheme="minorHAnsi" w:hAnsiTheme="minorHAnsi" w:cstheme="minorHAnsi"/>
        <w:szCs w:val="24"/>
      </w:rPr>
      <w:t>HMS</w:t>
    </w:r>
    <w:r w:rsidRPr="001F1E3B">
      <w:rPr>
        <w:rStyle w:val="Strong"/>
        <w:rFonts w:asciiTheme="minorHAnsi" w:hAnsiTheme="minorHAnsi" w:cstheme="minorHAnsi"/>
        <w:szCs w:val="24"/>
      </w:rPr>
      <w:t>-2</w:t>
    </w:r>
    <w:r w:rsidR="006111B4">
      <w:rPr>
        <w:rStyle w:val="Strong"/>
        <w:rFonts w:asciiTheme="minorHAnsi" w:hAnsiTheme="minorHAnsi" w:cstheme="minorHAnsi"/>
        <w:szCs w:val="24"/>
      </w:rPr>
      <w:t>201-2201-235</w:t>
    </w:r>
    <w:r w:rsidRPr="001F1E3B">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D60"/>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4B2C"/>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5303"/>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C0B"/>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1C"/>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B4"/>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B07"/>
    <w:rsid w:val="00695D1D"/>
    <w:rsid w:val="006A14D3"/>
    <w:rsid w:val="006A3310"/>
    <w:rsid w:val="006A3B2C"/>
    <w:rsid w:val="006A3F6E"/>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1CB3"/>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B7C1B"/>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02B"/>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4472"/>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0469"/>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23B4C"/>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37B"/>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99A"/>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5CA"/>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AB027D-6986-4310-BD8A-99023A845D87}">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2016-10-18T02:57:00Z</cp:lastPrinted>
  <dcterms:created xsi:type="dcterms:W3CDTF">2022-01-20T22:57:00Z</dcterms:created>
  <dcterms:modified xsi:type="dcterms:W3CDTF">2022-01-20T22:57:00Z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